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晋江市市场监督管理局</w:t>
      </w:r>
    </w:p>
    <w:p>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行政处罚决定书</w:t>
      </w:r>
    </w:p>
    <w:p>
      <w:pPr>
        <w:wordWrap w:val="0"/>
        <w:snapToGrid w:val="0"/>
        <w:spacing w:beforeLines="100" w:afterLines="100" w:line="320" w:lineRule="exact"/>
        <w:jc w:val="center"/>
        <w:rPr>
          <w:rFonts w:ascii="仿宋_GB2312" w:hAnsi="Times New Roman" w:eastAsia="仿宋_GB2312" w:cs="仿宋_GB2312"/>
          <w:color w:val="auto"/>
          <w:sz w:val="32"/>
          <w:szCs w:val="32"/>
        </w:rPr>
      </w:pPr>
      <w:r>
        <w:rPr>
          <w:color w:val="auto"/>
        </w:rPr>
        <w:pict>
          <v:shape id="_x0000_s2050" o:spid="_x0000_s2050"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auto"/>
          <w:sz w:val="32"/>
          <w:szCs w:val="32"/>
        </w:rPr>
        <w:t>晋市监处罚[</w:t>
      </w:r>
      <w:r>
        <w:rPr>
          <w:rFonts w:ascii="仿宋_GB2312" w:hAnsi="Times New Roman" w:eastAsia="仿宋_GB2312" w:cs="仿宋_GB2312"/>
          <w:color w:val="auto"/>
          <w:sz w:val="32"/>
          <w:szCs w:val="32"/>
        </w:rPr>
        <w:t>202</w:t>
      </w:r>
      <w:r>
        <w:rPr>
          <w:rFonts w:hint="eastAsia" w:ascii="仿宋_GB2312" w:hAnsi="Times New Roman" w:eastAsia="仿宋_GB2312" w:cs="仿宋_GB2312"/>
          <w:color w:val="auto"/>
          <w:sz w:val="32"/>
          <w:szCs w:val="32"/>
          <w:lang w:val="en-US" w:eastAsia="zh-CN"/>
        </w:rPr>
        <w:t>5</w:t>
      </w:r>
      <w:r>
        <w:rPr>
          <w:rFonts w:hint="eastAsia" w:ascii="仿宋_GB2312" w:hAnsi="Times New Roman" w:eastAsia="仿宋_GB2312" w:cs="仿宋_GB2312"/>
          <w:color w:val="auto"/>
          <w:sz w:val="32"/>
          <w:szCs w:val="32"/>
        </w:rPr>
        <w:t>]</w:t>
      </w:r>
      <w:r>
        <w:rPr>
          <w:rFonts w:ascii="仿宋_GB2312" w:hAnsi="Times New Roman" w:eastAsia="仿宋_GB2312" w:cs="仿宋_GB2312"/>
          <w:color w:val="auto"/>
          <w:sz w:val="32"/>
          <w:szCs w:val="32"/>
        </w:rPr>
        <w:t>01-</w:t>
      </w:r>
      <w:r>
        <w:rPr>
          <w:rFonts w:hint="eastAsia" w:ascii="仿宋_GB2312" w:hAnsi="Times New Roman" w:eastAsia="仿宋_GB2312" w:cs="仿宋_GB2312"/>
          <w:color w:val="auto"/>
          <w:sz w:val="32"/>
          <w:szCs w:val="32"/>
          <w:lang w:val="en-US" w:eastAsia="zh-CN"/>
        </w:rPr>
        <w:t>004</w:t>
      </w:r>
      <w:r>
        <w:rPr>
          <w:rFonts w:hint="eastAsia" w:ascii="仿宋_GB2312" w:hAnsi="Times New Roman" w:eastAsia="仿宋_GB2312" w:cs="仿宋_GB2312"/>
          <w:color w:val="auto"/>
          <w:sz w:val="32"/>
          <w:szCs w:val="32"/>
        </w:rPr>
        <w:t>号</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当事人：</w:t>
      </w:r>
      <w:r>
        <w:rPr>
          <w:rFonts w:hint="eastAsia" w:ascii="仿宋" w:hAnsi="仿宋" w:eastAsia="仿宋" w:cs="仿宋"/>
          <w:color w:val="auto"/>
          <w:sz w:val="32"/>
          <w:szCs w:val="32"/>
        </w:rPr>
        <w:t>泉州市勾勾手电子商务有限公司</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主体资格证照名称：营业执照</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32"/>
          <w:szCs w:val="32"/>
        </w:rPr>
      </w:pPr>
      <w:r>
        <w:rPr>
          <w:rFonts w:hint="eastAsia" w:ascii="仿宋" w:hAnsi="仿宋" w:eastAsia="仿宋" w:cs="仿宋"/>
          <w:color w:val="auto"/>
          <w:kern w:val="1"/>
          <w:sz w:val="32"/>
          <w:szCs w:val="32"/>
        </w:rPr>
        <w:t>统一社会信用代码：</w:t>
      </w:r>
      <w:r>
        <w:rPr>
          <w:rFonts w:hint="eastAsia" w:ascii="仿宋" w:hAnsi="仿宋" w:eastAsia="仿宋" w:cs="仿宋"/>
          <w:color w:val="auto"/>
          <w:sz w:val="32"/>
          <w:szCs w:val="32"/>
        </w:rPr>
        <w:t>91350582068758117U</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32"/>
          <w:szCs w:val="32"/>
        </w:rPr>
      </w:pPr>
      <w:r>
        <w:rPr>
          <w:rFonts w:hint="eastAsia" w:ascii="仿宋" w:hAnsi="仿宋" w:eastAsia="仿宋" w:cs="仿宋"/>
          <w:color w:val="auto"/>
          <w:kern w:val="1"/>
          <w:sz w:val="32"/>
          <w:szCs w:val="32"/>
        </w:rPr>
        <w:t>企业住所：</w:t>
      </w:r>
      <w:r>
        <w:rPr>
          <w:rFonts w:hint="eastAsia" w:ascii="仿宋" w:hAnsi="仿宋" w:eastAsia="仿宋" w:cs="仿宋"/>
          <w:color w:val="auto"/>
          <w:sz w:val="32"/>
          <w:szCs w:val="32"/>
        </w:rPr>
        <w:t>晋江市青阳街道洪山文化创意产业园区洪山路</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号</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法定代表人：</w:t>
      </w:r>
      <w:r>
        <w:rPr>
          <w:rFonts w:hint="eastAsia" w:ascii="仿宋" w:hAnsi="仿宋" w:eastAsia="仿宋" w:cs="仿宋"/>
          <w:color w:val="auto"/>
          <w:sz w:val="32"/>
          <w:szCs w:val="32"/>
        </w:rPr>
        <w:t>斛辉</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2024年10月11日，本局执法人员根据投诉举报线索，依法对位于晋江市青阳街道洪山文化创意产业园区洪山路</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号的当事人泉州市勾勾手电子商务有限公司经营场所进行检查，现场配合检查并提供营业执照和食品经营许可证。现场检查发现当事人在京东购物平台“新西特旗舰店”商铺销售“新西特原装进口液体钙铁锌液体钙液体锌乳钙柠檬酸钙乳酸锌儿童钙宝宝营养包10 ml*2袋 液体钙免费试喝”网络宣传页面中明显标识“领先螯合技术 补钙更高效”的广告宣传字样，当事人无法提供相关广告内容的证明资料。即予以立案调查。</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经查实，泉州市勾勾手电子商务有限公司是当事开办的从事食品经营活动的有限责任公司，持有《营业执照》和《预包装食品备案》。2024年9月份，当事人在京东购物平台“新西特旗舰店”商铺销售“新西特原装进口液体钙铁锌液体钙液体锌乳钙柠檬酸钙乳酸锌儿童钙宝宝营养包10 ml*2袋 液体钙免费试喝”网络宣传页面中，安排员工发布标识“领先螯合技术 补钙更高效”的虚假广告。该广告由当事人公司员工编辑制作并发布，当事人在2024年9月支付给员工制作上述广告网页制作费用补贴150元，据此认定本案广告费用150元</w:t>
      </w:r>
      <w:r>
        <w:rPr>
          <w:rFonts w:hint="eastAsia" w:ascii="仿宋" w:hAnsi="仿宋" w:eastAsia="仿宋" w:cs="仿宋"/>
          <w:color w:val="auto"/>
          <w:sz w:val="32"/>
          <w:szCs w:val="32"/>
        </w:rPr>
        <w:t>。</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以上事实，由</w:t>
      </w:r>
      <w:r>
        <w:rPr>
          <w:rFonts w:hint="eastAsia" w:ascii="仿宋" w:hAnsi="仿宋" w:eastAsia="仿宋" w:cs="仿宋"/>
          <w:color w:val="auto"/>
          <w:kern w:val="0"/>
          <w:sz w:val="32"/>
          <w:szCs w:val="32"/>
        </w:rPr>
        <w:t>现场笔录、询问笔录、照片、投诉单</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营业执照、《预包装食品备案》、身份证复印件</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授权委托书及代理人身份证复印件</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《关于“液体钙浓缩饮料试用装”投诉案件的说明》</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《拒绝调解说明》</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《入境货物检验检疫证明》</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《报关单》</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《澳药（厦门）健康科技有限公司营业执照》</w:t>
      </w:r>
      <w:r>
        <w:rPr>
          <w:rFonts w:hint="eastAsia" w:ascii="仿宋" w:hAnsi="仿宋" w:eastAsia="仿宋" w:cs="仿宋"/>
          <w:color w:val="auto"/>
          <w:sz w:val="32"/>
          <w:szCs w:val="32"/>
        </w:rPr>
        <w:t xml:space="preserve">等证据证明。  </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2024年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日，本局向当事人直接送达晋市监罚告[202</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  01-</w:t>
      </w:r>
      <w:r>
        <w:rPr>
          <w:rFonts w:hint="eastAsia" w:ascii="仿宋" w:hAnsi="仿宋" w:eastAsia="仿宋" w:cs="仿宋"/>
          <w:color w:val="auto"/>
          <w:sz w:val="32"/>
          <w:szCs w:val="32"/>
          <w:lang w:val="en-US" w:eastAsia="zh-CN"/>
        </w:rPr>
        <w:t>004</w:t>
      </w:r>
      <w:r>
        <w:rPr>
          <w:rFonts w:hint="eastAsia" w:ascii="仿宋" w:hAnsi="仿宋" w:eastAsia="仿宋" w:cs="仿宋"/>
          <w:color w:val="auto"/>
          <w:sz w:val="32"/>
          <w:szCs w:val="32"/>
        </w:rPr>
        <w:t xml:space="preserve">号《行政处罚告知书》，当事人未在法定期限内提出陈述或申辩。  </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局认为：《中华人民共和国广告法》第四条第一款规定：广告不得含有虚假或者引人误解的内容，不得欺骗、误导消费者。当事人上述行为违反了该规定，构成发布虚假广告的违法行为。依据《中华人民共和国广告法》第五十五条第一款规定“违反本法规定，发布虚假广告的，由市场监督管理部门责令停止发布广告，责令广告主在相应范围内消除影响，处广告费用三倍以上五倍以下的罚款，广告费用无法计算或者明显偏低的，处二十万元以上一百万元以下的罚款；”应当责令当事人停止发布广告，并在相应范围内消除影响，处广告费用三倍以上五倍以下的罚款。</w:t>
      </w:r>
    </w:p>
    <w:p>
      <w:pPr>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32"/>
          <w:szCs w:val="32"/>
        </w:rPr>
      </w:pPr>
      <w:r>
        <w:rPr>
          <w:rFonts w:hint="eastAsia" w:ascii="仿宋" w:hAnsi="仿宋" w:eastAsia="仿宋" w:cs="仿宋"/>
          <w:color w:val="auto"/>
          <w:kern w:val="2"/>
          <w:sz w:val="32"/>
          <w:szCs w:val="32"/>
        </w:rPr>
        <w:t>在案件调查过程中，</w:t>
      </w:r>
      <w:r>
        <w:rPr>
          <w:rFonts w:hint="eastAsia" w:ascii="仿宋" w:hAnsi="仿宋" w:eastAsia="仿宋" w:cs="仿宋"/>
          <w:color w:val="auto"/>
          <w:sz w:val="32"/>
          <w:szCs w:val="32"/>
        </w:rPr>
        <w:t xml:space="preserve">当事人积极配合市场监督管理部门调查，如实陈述违法事实并主动提供证据材料。当事人上述行为符合《福建省市场监督管理行政处罚裁量权适用原则》第十一条第（二）项、《福建省市场监督管理系统适用〈广告法〉行政处罚裁量基准》条款代号GG-1从轻量罚的情形。       </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当事人的上述行为违反了《中华人民共和国广告法》第四条第一款之规定，依据《中华人民共和国广告法》第五十五条第一款之规定，本局决定对当事人责令其停止发布广告并在相应范围内消除影响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并作出如下行政处理：处罚款450元。</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以上款项合计</w:t>
      </w:r>
      <w:r>
        <w:rPr>
          <w:rFonts w:hint="eastAsia" w:ascii="仿宋" w:hAnsi="仿宋" w:eastAsia="仿宋" w:cs="仿宋"/>
          <w:color w:val="auto"/>
          <w:sz w:val="32"/>
          <w:szCs w:val="32"/>
          <w:lang w:val="en-US" w:eastAsia="zh-CN"/>
        </w:rPr>
        <w:t>45</w:t>
      </w:r>
      <w:r>
        <w:rPr>
          <w:rFonts w:hint="eastAsia" w:ascii="仿宋" w:hAnsi="仿宋" w:eastAsia="仿宋" w:cs="仿宋"/>
          <w:color w:val="auto"/>
          <w:sz w:val="32"/>
          <w:szCs w:val="32"/>
        </w:rPr>
        <w:t>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当事人如不服本处罚决定，可在接到本处罚决定书之日起60日内向晋江市人民政府申请行政复议，或在6个月内依法向</w:t>
      </w:r>
      <w:r>
        <w:rPr>
          <w:rFonts w:hint="eastAsia" w:ascii="仿宋" w:hAnsi="仿宋" w:eastAsia="仿宋" w:cs="仿宋"/>
          <w:color w:val="auto"/>
          <w:sz w:val="32"/>
          <w:szCs w:val="32"/>
          <w:lang w:eastAsia="zh-CN"/>
        </w:rPr>
        <w:t>洛江区</w:t>
      </w:r>
      <w:r>
        <w:rPr>
          <w:rFonts w:hint="eastAsia" w:ascii="仿宋" w:hAnsi="仿宋" w:eastAsia="仿宋" w:cs="仿宋"/>
          <w:color w:val="auto"/>
          <w:sz w:val="32"/>
          <w:szCs w:val="32"/>
        </w:rPr>
        <w:t xml:space="preserve">人民法院提起行政诉讼。当事人对行政处罚决定不服而申请行政复议或者提起行政诉讼期间，行政处罚不停止执行，法律、法规、规章另有规定的，从其规定。 </w:t>
      </w: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p>
    <w:p>
      <w:pPr>
        <w:keepNext w:val="0"/>
        <w:keepLines w:val="0"/>
        <w:pageBreakBefore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color w:val="auto"/>
          <w:sz w:val="32"/>
          <w:szCs w:val="32"/>
        </w:rPr>
      </w:pPr>
    </w:p>
    <w:p>
      <w:pPr>
        <w:keepNext w:val="0"/>
        <w:keepLines w:val="0"/>
        <w:pageBreakBefore w:val="0"/>
        <w:kinsoku/>
        <w:wordWrap/>
        <w:overflowPunct/>
        <w:topLinePunct w:val="0"/>
        <w:autoSpaceDE/>
        <w:autoSpaceDN/>
        <w:bidi w:val="0"/>
        <w:adjustRightInd/>
        <w:snapToGrid/>
        <w:spacing w:line="360" w:lineRule="exact"/>
        <w:ind w:firstLine="601"/>
        <w:jc w:val="righ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                 晋江市市场监督管理局</w:t>
      </w:r>
    </w:p>
    <w:p>
      <w:pPr>
        <w:spacing w:line="480" w:lineRule="exact"/>
        <w:jc w:val="right"/>
        <w:rPr>
          <w:rFonts w:hint="eastAsia"/>
          <w:lang w:eastAsia="zh-CN"/>
        </w:rPr>
      </w:pPr>
      <w:r>
        <w:rPr>
          <w:rFonts w:hint="eastAsia" w:ascii="仿宋" w:hAnsi="仿宋" w:eastAsia="仿宋" w:cs="仿宋"/>
          <w:color w:val="auto"/>
          <w:sz w:val="32"/>
          <w:szCs w:val="32"/>
        </w:rPr>
        <w:t xml:space="preserve">          202</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 xml:space="preserve">日 </w:t>
      </w:r>
      <w:bookmarkStart w:id="0" w:name="_GoBack"/>
      <w:bookmarkEnd w:id="0"/>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5C52"/>
    <w:rsid w:val="00007764"/>
    <w:rsid w:val="00007A02"/>
    <w:rsid w:val="000248F3"/>
    <w:rsid w:val="00034496"/>
    <w:rsid w:val="00037806"/>
    <w:rsid w:val="00040F02"/>
    <w:rsid w:val="0004759F"/>
    <w:rsid w:val="000743AE"/>
    <w:rsid w:val="00076947"/>
    <w:rsid w:val="00077A72"/>
    <w:rsid w:val="00077DE6"/>
    <w:rsid w:val="000A0EAA"/>
    <w:rsid w:val="000A23C0"/>
    <w:rsid w:val="000A5D28"/>
    <w:rsid w:val="000B0D42"/>
    <w:rsid w:val="000C3E68"/>
    <w:rsid w:val="000D7EE2"/>
    <w:rsid w:val="000E35B4"/>
    <w:rsid w:val="001044FE"/>
    <w:rsid w:val="001055EC"/>
    <w:rsid w:val="00114448"/>
    <w:rsid w:val="00126331"/>
    <w:rsid w:val="0013456D"/>
    <w:rsid w:val="00140948"/>
    <w:rsid w:val="00143B8C"/>
    <w:rsid w:val="00153BEB"/>
    <w:rsid w:val="001779F3"/>
    <w:rsid w:val="001A3074"/>
    <w:rsid w:val="001B0254"/>
    <w:rsid w:val="001B40E4"/>
    <w:rsid w:val="001B52A1"/>
    <w:rsid w:val="001D4034"/>
    <w:rsid w:val="001F327B"/>
    <w:rsid w:val="00204476"/>
    <w:rsid w:val="00231D99"/>
    <w:rsid w:val="00235707"/>
    <w:rsid w:val="0023661B"/>
    <w:rsid w:val="00246A8D"/>
    <w:rsid w:val="00254D23"/>
    <w:rsid w:val="002576B9"/>
    <w:rsid w:val="00257DD1"/>
    <w:rsid w:val="00291604"/>
    <w:rsid w:val="002A15A0"/>
    <w:rsid w:val="002C15E7"/>
    <w:rsid w:val="002C1F2A"/>
    <w:rsid w:val="002C30A0"/>
    <w:rsid w:val="002C43EA"/>
    <w:rsid w:val="00316F22"/>
    <w:rsid w:val="003209F0"/>
    <w:rsid w:val="00342439"/>
    <w:rsid w:val="00345C90"/>
    <w:rsid w:val="0034617A"/>
    <w:rsid w:val="00361A24"/>
    <w:rsid w:val="00365D56"/>
    <w:rsid w:val="00367629"/>
    <w:rsid w:val="0037516E"/>
    <w:rsid w:val="00393749"/>
    <w:rsid w:val="003A7A6D"/>
    <w:rsid w:val="003B2CB3"/>
    <w:rsid w:val="003B4FFA"/>
    <w:rsid w:val="003C7762"/>
    <w:rsid w:val="003D0AEB"/>
    <w:rsid w:val="003E15D4"/>
    <w:rsid w:val="00401A24"/>
    <w:rsid w:val="00401D9C"/>
    <w:rsid w:val="00406FAB"/>
    <w:rsid w:val="00412F44"/>
    <w:rsid w:val="00435755"/>
    <w:rsid w:val="00451E9B"/>
    <w:rsid w:val="00455977"/>
    <w:rsid w:val="004563B1"/>
    <w:rsid w:val="00484231"/>
    <w:rsid w:val="004A236B"/>
    <w:rsid w:val="004A3F4C"/>
    <w:rsid w:val="004B1549"/>
    <w:rsid w:val="004B4907"/>
    <w:rsid w:val="004C3ED8"/>
    <w:rsid w:val="004C40F0"/>
    <w:rsid w:val="004D0567"/>
    <w:rsid w:val="004D18F8"/>
    <w:rsid w:val="004D3A40"/>
    <w:rsid w:val="004E4338"/>
    <w:rsid w:val="004E5958"/>
    <w:rsid w:val="004F1E42"/>
    <w:rsid w:val="0050052A"/>
    <w:rsid w:val="0050065D"/>
    <w:rsid w:val="005010C0"/>
    <w:rsid w:val="00510CFC"/>
    <w:rsid w:val="00522964"/>
    <w:rsid w:val="00540AD0"/>
    <w:rsid w:val="00542F70"/>
    <w:rsid w:val="00550C02"/>
    <w:rsid w:val="00555393"/>
    <w:rsid w:val="005643CF"/>
    <w:rsid w:val="00565052"/>
    <w:rsid w:val="005767F9"/>
    <w:rsid w:val="005870C9"/>
    <w:rsid w:val="00593B93"/>
    <w:rsid w:val="0059535A"/>
    <w:rsid w:val="005D6875"/>
    <w:rsid w:val="005E0F35"/>
    <w:rsid w:val="005F2547"/>
    <w:rsid w:val="005F7EBF"/>
    <w:rsid w:val="0060093F"/>
    <w:rsid w:val="00601876"/>
    <w:rsid w:val="006134DB"/>
    <w:rsid w:val="00613C75"/>
    <w:rsid w:val="00613F3D"/>
    <w:rsid w:val="0062116A"/>
    <w:rsid w:val="0063101E"/>
    <w:rsid w:val="00634CC3"/>
    <w:rsid w:val="00641880"/>
    <w:rsid w:val="0064298B"/>
    <w:rsid w:val="0064416B"/>
    <w:rsid w:val="00655E6A"/>
    <w:rsid w:val="0067063C"/>
    <w:rsid w:val="0067073C"/>
    <w:rsid w:val="006753E5"/>
    <w:rsid w:val="00693CE6"/>
    <w:rsid w:val="006A4F3C"/>
    <w:rsid w:val="006A5923"/>
    <w:rsid w:val="006A77B8"/>
    <w:rsid w:val="006D6D9E"/>
    <w:rsid w:val="006E343B"/>
    <w:rsid w:val="006E5E74"/>
    <w:rsid w:val="0070356E"/>
    <w:rsid w:val="007153FC"/>
    <w:rsid w:val="00727A76"/>
    <w:rsid w:val="00750735"/>
    <w:rsid w:val="007530C4"/>
    <w:rsid w:val="007531C7"/>
    <w:rsid w:val="0076529B"/>
    <w:rsid w:val="00774EFC"/>
    <w:rsid w:val="00775D2F"/>
    <w:rsid w:val="00777B33"/>
    <w:rsid w:val="00787563"/>
    <w:rsid w:val="007A0E52"/>
    <w:rsid w:val="007A37A6"/>
    <w:rsid w:val="007B288C"/>
    <w:rsid w:val="007C0A45"/>
    <w:rsid w:val="007E18A5"/>
    <w:rsid w:val="007E3F36"/>
    <w:rsid w:val="008031CC"/>
    <w:rsid w:val="008039B9"/>
    <w:rsid w:val="00807214"/>
    <w:rsid w:val="00816852"/>
    <w:rsid w:val="00821D7F"/>
    <w:rsid w:val="00832483"/>
    <w:rsid w:val="00836751"/>
    <w:rsid w:val="008429FC"/>
    <w:rsid w:val="00864F31"/>
    <w:rsid w:val="00885A3D"/>
    <w:rsid w:val="0088734E"/>
    <w:rsid w:val="008948D5"/>
    <w:rsid w:val="00895640"/>
    <w:rsid w:val="008B0B57"/>
    <w:rsid w:val="008B55D8"/>
    <w:rsid w:val="008C0D6D"/>
    <w:rsid w:val="008C14F2"/>
    <w:rsid w:val="008C2317"/>
    <w:rsid w:val="008C3D24"/>
    <w:rsid w:val="008E1178"/>
    <w:rsid w:val="008F73B6"/>
    <w:rsid w:val="00907178"/>
    <w:rsid w:val="00910820"/>
    <w:rsid w:val="00915841"/>
    <w:rsid w:val="00943E08"/>
    <w:rsid w:val="00945347"/>
    <w:rsid w:val="00960A92"/>
    <w:rsid w:val="00971C32"/>
    <w:rsid w:val="00993AC0"/>
    <w:rsid w:val="00993F3D"/>
    <w:rsid w:val="009958BF"/>
    <w:rsid w:val="009A18D3"/>
    <w:rsid w:val="009C5839"/>
    <w:rsid w:val="009C5986"/>
    <w:rsid w:val="009D589C"/>
    <w:rsid w:val="009F1668"/>
    <w:rsid w:val="009F35A6"/>
    <w:rsid w:val="00A07E1D"/>
    <w:rsid w:val="00A17B66"/>
    <w:rsid w:val="00A31FE1"/>
    <w:rsid w:val="00A37262"/>
    <w:rsid w:val="00A43834"/>
    <w:rsid w:val="00A53F0B"/>
    <w:rsid w:val="00A549A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4481B"/>
    <w:rsid w:val="00B51FFA"/>
    <w:rsid w:val="00B61458"/>
    <w:rsid w:val="00B62E7A"/>
    <w:rsid w:val="00B66630"/>
    <w:rsid w:val="00B66D63"/>
    <w:rsid w:val="00B83175"/>
    <w:rsid w:val="00BA3308"/>
    <w:rsid w:val="00BB3222"/>
    <w:rsid w:val="00BB371A"/>
    <w:rsid w:val="00BC4F4E"/>
    <w:rsid w:val="00BD1878"/>
    <w:rsid w:val="00BD4131"/>
    <w:rsid w:val="00BD69A7"/>
    <w:rsid w:val="00BD78C9"/>
    <w:rsid w:val="00BE14AE"/>
    <w:rsid w:val="00BE24F5"/>
    <w:rsid w:val="00BE671D"/>
    <w:rsid w:val="00BF1A59"/>
    <w:rsid w:val="00BF3997"/>
    <w:rsid w:val="00C00611"/>
    <w:rsid w:val="00C00DFD"/>
    <w:rsid w:val="00C179D8"/>
    <w:rsid w:val="00C223E1"/>
    <w:rsid w:val="00C22D03"/>
    <w:rsid w:val="00C26BA9"/>
    <w:rsid w:val="00C27F5A"/>
    <w:rsid w:val="00C315A2"/>
    <w:rsid w:val="00C44A08"/>
    <w:rsid w:val="00C46647"/>
    <w:rsid w:val="00C644A3"/>
    <w:rsid w:val="00C64EB8"/>
    <w:rsid w:val="00C744AD"/>
    <w:rsid w:val="00C8768E"/>
    <w:rsid w:val="00CA277B"/>
    <w:rsid w:val="00CB07D7"/>
    <w:rsid w:val="00CB40F1"/>
    <w:rsid w:val="00CC4DA2"/>
    <w:rsid w:val="00CC6C25"/>
    <w:rsid w:val="00CD2941"/>
    <w:rsid w:val="00CD3255"/>
    <w:rsid w:val="00CD33E5"/>
    <w:rsid w:val="00CF4B8B"/>
    <w:rsid w:val="00D04055"/>
    <w:rsid w:val="00D073EF"/>
    <w:rsid w:val="00D07FA5"/>
    <w:rsid w:val="00D22376"/>
    <w:rsid w:val="00D31F55"/>
    <w:rsid w:val="00D33C8B"/>
    <w:rsid w:val="00D46980"/>
    <w:rsid w:val="00D53F8E"/>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21401"/>
    <w:rsid w:val="00E23B62"/>
    <w:rsid w:val="00E36AB3"/>
    <w:rsid w:val="00E54C6D"/>
    <w:rsid w:val="00E558FA"/>
    <w:rsid w:val="00E72F7C"/>
    <w:rsid w:val="00E820CD"/>
    <w:rsid w:val="00E97C53"/>
    <w:rsid w:val="00EA3F89"/>
    <w:rsid w:val="00EB3F5F"/>
    <w:rsid w:val="00EC0853"/>
    <w:rsid w:val="00EC1394"/>
    <w:rsid w:val="00EC743D"/>
    <w:rsid w:val="00EE276D"/>
    <w:rsid w:val="00F05F79"/>
    <w:rsid w:val="00F06E2B"/>
    <w:rsid w:val="00F07D35"/>
    <w:rsid w:val="00F35474"/>
    <w:rsid w:val="00F5146E"/>
    <w:rsid w:val="00F6001B"/>
    <w:rsid w:val="00F85AF5"/>
    <w:rsid w:val="00F92A07"/>
    <w:rsid w:val="00FA68F7"/>
    <w:rsid w:val="00FB7E94"/>
    <w:rsid w:val="00FC0159"/>
    <w:rsid w:val="00FC5219"/>
    <w:rsid w:val="00FC57CE"/>
    <w:rsid w:val="00FE67A7"/>
    <w:rsid w:val="0A9E0882"/>
    <w:rsid w:val="10C714AA"/>
    <w:rsid w:val="16B16849"/>
    <w:rsid w:val="17BE75D5"/>
    <w:rsid w:val="1A033433"/>
    <w:rsid w:val="1D7959C2"/>
    <w:rsid w:val="28690811"/>
    <w:rsid w:val="4861719E"/>
    <w:rsid w:val="4F965EA1"/>
    <w:rsid w:val="50D46083"/>
    <w:rsid w:val="566205D0"/>
    <w:rsid w:val="5A2D67C8"/>
    <w:rsid w:val="5ED54917"/>
    <w:rsid w:val="62EF0B51"/>
    <w:rsid w:val="648B4CB0"/>
    <w:rsid w:val="6B675071"/>
    <w:rsid w:val="6E317349"/>
    <w:rsid w:val="74570C71"/>
    <w:rsid w:val="7DCB0E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iPriority w:val="99"/>
    <w:pPr>
      <w:ind w:left="100" w:leftChars="2500"/>
    </w:pPr>
  </w:style>
  <w:style w:type="paragraph" w:styleId="3">
    <w:name w:val="Balloon Text"/>
    <w:basedOn w:val="1"/>
    <w:link w:val="10"/>
    <w:semiHidden/>
    <w:qFormat/>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Autospacing="1" w:afterAutospacing="1"/>
      <w:jc w:val="left"/>
    </w:pPr>
    <w:rPr>
      <w:rFonts w:cs="Times New Roman"/>
      <w:kern w:val="0"/>
      <w:sz w:val="24"/>
      <w:szCs w:val="24"/>
    </w:rPr>
  </w:style>
  <w:style w:type="character" w:customStyle="1" w:styleId="9">
    <w:name w:val="日期 Char"/>
    <w:basedOn w:val="8"/>
    <w:link w:val="2"/>
    <w:semiHidden/>
    <w:qFormat/>
    <w:locked/>
    <w:uiPriority w:val="99"/>
    <w:rPr>
      <w:rFonts w:ascii="Calibri" w:hAnsi="Calibri" w:eastAsia="宋体" w:cs="Calibri"/>
      <w:sz w:val="21"/>
      <w:szCs w:val="21"/>
    </w:rPr>
  </w:style>
  <w:style w:type="character" w:customStyle="1" w:styleId="10">
    <w:name w:val="批注框文本 Char"/>
    <w:basedOn w:val="8"/>
    <w:link w:val="3"/>
    <w:semiHidden/>
    <w:qFormat/>
    <w:locked/>
    <w:uiPriority w:val="99"/>
    <w:rPr>
      <w:rFonts w:ascii="Calibri" w:hAnsi="Calibri" w:eastAsia="宋体" w:cs="Calibri"/>
      <w:sz w:val="18"/>
      <w:szCs w:val="18"/>
    </w:rPr>
  </w:style>
  <w:style w:type="character" w:customStyle="1" w:styleId="11">
    <w:name w:val="页脚 Char"/>
    <w:basedOn w:val="8"/>
    <w:link w:val="4"/>
    <w:semiHidden/>
    <w:qFormat/>
    <w:locked/>
    <w:uiPriority w:val="99"/>
    <w:rPr>
      <w:sz w:val="18"/>
      <w:szCs w:val="18"/>
    </w:rPr>
  </w:style>
  <w:style w:type="character" w:customStyle="1" w:styleId="12">
    <w:name w:val="页眉 Char"/>
    <w:basedOn w:val="8"/>
    <w:link w:val="5"/>
    <w:semiHidden/>
    <w:qFormat/>
    <w:locked/>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151</Words>
  <Characters>867</Characters>
  <Lines>7</Lines>
  <Paragraphs>2</Paragraphs>
  <TotalTime>0</TotalTime>
  <ScaleCrop>false</ScaleCrop>
  <LinksUpToDate>false</LinksUpToDate>
  <CharactersWithSpaces>1016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2021-03-24T08:47:00Z</dcterms:created>
  <dc:creator>Administrator</dc:creator>
  <cp:lastModifiedBy>施婉弘</cp:lastModifiedBy>
  <cp:lastPrinted>2021-01-20T01:31:00Z</cp:lastPrinted>
  <dcterms:modified xsi:type="dcterms:W3CDTF">2025-02-07T08:41:28Z</dcterms:modified>
  <dc:title>晋江市市场监督管理局</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